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9074F6" w:rsidP="003D035A">
      <w:pPr>
        <w:rPr>
          <w:rFonts w:ascii="Arial" w:hAnsi="Arial" w:cs="Arial"/>
          <w:sz w:val="22"/>
          <w:szCs w:val="22"/>
          <w:lang w:val="en-GB"/>
        </w:rPr>
      </w:pPr>
      <w:r>
        <w:rPr>
          <w:rFonts w:ascii="Arial" w:hAnsi="Arial" w:cs="Arial"/>
          <w:sz w:val="22"/>
          <w:szCs w:val="22"/>
          <w:lang w:val="en-GB"/>
        </w:rPr>
        <w:t>28</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July</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9074F6" w:rsidP="00ED64D8">
      <w:pPr>
        <w:pStyle w:val="Default"/>
        <w:rPr>
          <w:rFonts w:ascii="Arial" w:hAnsi="Arial" w:cs="Arial"/>
          <w:b/>
          <w:sz w:val="22"/>
          <w:szCs w:val="22"/>
          <w:lang w:val="en-GB"/>
        </w:rPr>
      </w:pPr>
      <w:r>
        <w:rPr>
          <w:rFonts w:ascii="Arial" w:hAnsi="Arial" w:cs="Arial"/>
          <w:b/>
          <w:sz w:val="22"/>
          <w:szCs w:val="22"/>
          <w:lang w:val="en-GB"/>
        </w:rPr>
        <w:t>YOKOHAMA</w:t>
      </w:r>
      <w:r w:rsidRPr="009074F6">
        <w:rPr>
          <w:rFonts w:ascii="Arial" w:hAnsi="Arial" w:cs="Arial"/>
          <w:b/>
          <w:sz w:val="22"/>
          <w:szCs w:val="22"/>
          <w:lang w:val="en-GB"/>
        </w:rPr>
        <w:t xml:space="preserve"> Revises </w:t>
      </w:r>
      <w:r>
        <w:rPr>
          <w:rFonts w:ascii="Arial" w:hAnsi="Arial" w:cs="Arial"/>
          <w:b/>
          <w:sz w:val="22"/>
          <w:szCs w:val="22"/>
          <w:lang w:val="en-GB"/>
        </w:rPr>
        <w:t xml:space="preserve">2017 </w:t>
      </w:r>
      <w:r w:rsidRPr="009074F6">
        <w:rPr>
          <w:rFonts w:ascii="Arial" w:hAnsi="Arial" w:cs="Arial"/>
          <w:b/>
          <w:sz w:val="22"/>
          <w:szCs w:val="22"/>
          <w:lang w:val="en-GB"/>
        </w:rPr>
        <w:t xml:space="preserve">Projections </w:t>
      </w:r>
    </w:p>
    <w:p w:rsidR="009074F6" w:rsidRPr="009074F6" w:rsidRDefault="009074F6" w:rsidP="00ED64D8">
      <w:pPr>
        <w:pStyle w:val="Default"/>
        <w:rPr>
          <w:rFonts w:ascii="Arial" w:hAnsi="Arial" w:cs="Arial"/>
          <w:b/>
          <w:sz w:val="22"/>
          <w:szCs w:val="22"/>
          <w:lang w:val="en-GB"/>
        </w:rPr>
      </w:pPr>
    </w:p>
    <w:p w:rsidR="009074F6" w:rsidRPr="009074F6" w:rsidRDefault="009074F6" w:rsidP="009074F6">
      <w:pPr>
        <w:pStyle w:val="NurText"/>
        <w:rPr>
          <w:sz w:val="22"/>
          <w:szCs w:val="22"/>
          <w:lang w:val="en-GB"/>
        </w:rPr>
      </w:pPr>
      <w:r w:rsidRPr="009074F6">
        <w:rPr>
          <w:sz w:val="22"/>
          <w:szCs w:val="22"/>
          <w:lang w:val="en-GB"/>
        </w:rPr>
        <w:t xml:space="preserve">Yokohama Rubber today announced upward revisions in its projections for interim sales and earnings. These revisions pertain to the company’s financial performance in the fiscal first half (January to June) of 2017 and are in reference to earlier projections announced on </w:t>
      </w:r>
      <w:r>
        <w:rPr>
          <w:sz w:val="22"/>
          <w:szCs w:val="22"/>
          <w:lang w:val="en-GB"/>
        </w:rPr>
        <w:t>20</w:t>
      </w:r>
      <w:r w:rsidRPr="009074F6">
        <w:rPr>
          <w:sz w:val="22"/>
          <w:szCs w:val="22"/>
          <w:vertAlign w:val="superscript"/>
          <w:lang w:val="en-GB"/>
        </w:rPr>
        <w:t>th</w:t>
      </w:r>
      <w:r>
        <w:rPr>
          <w:sz w:val="22"/>
          <w:szCs w:val="22"/>
          <w:lang w:val="en-GB"/>
        </w:rPr>
        <w:t xml:space="preserve"> February</w:t>
      </w:r>
      <w:r w:rsidRPr="009074F6">
        <w:rPr>
          <w:sz w:val="22"/>
          <w:szCs w:val="22"/>
          <w:lang w:val="en-GB"/>
        </w:rPr>
        <w:t xml:space="preserve">. </w:t>
      </w:r>
    </w:p>
    <w:p w:rsidR="009074F6" w:rsidRPr="009074F6" w:rsidRDefault="009074F6" w:rsidP="009074F6">
      <w:pPr>
        <w:pStyle w:val="NurText"/>
        <w:rPr>
          <w:sz w:val="22"/>
          <w:szCs w:val="22"/>
          <w:lang w:val="en-GB"/>
        </w:rPr>
      </w:pPr>
    </w:p>
    <w:p w:rsidR="009074F6" w:rsidRPr="009074F6" w:rsidRDefault="009074F6" w:rsidP="009074F6">
      <w:pPr>
        <w:pStyle w:val="NurText"/>
        <w:rPr>
          <w:sz w:val="22"/>
          <w:szCs w:val="22"/>
          <w:lang w:val="en-GB"/>
        </w:rPr>
      </w:pPr>
      <w:r w:rsidRPr="009074F6">
        <w:rPr>
          <w:sz w:val="22"/>
          <w:szCs w:val="22"/>
          <w:lang w:val="en-GB"/>
        </w:rPr>
        <w:t>Y</w:t>
      </w:r>
      <w:r w:rsidR="007E323C">
        <w:rPr>
          <w:sz w:val="22"/>
          <w:szCs w:val="22"/>
          <w:lang w:val="en-GB"/>
        </w:rPr>
        <w:t>OKOHAMA</w:t>
      </w:r>
      <w:r w:rsidRPr="009074F6">
        <w:rPr>
          <w:sz w:val="22"/>
          <w:szCs w:val="22"/>
          <w:lang w:val="en-GB"/>
        </w:rPr>
        <w:t xml:space="preserve"> has raised its projection for net sales 3.3%, to 310.0 billion yen; its projection for operating income 28.6%, to 18.0 billion yen; and its projection for profit attributable to owners of parent 46.7%, to 11.0 billion yen. The upward revisions are on account of strong sales in the Japane</w:t>
      </w:r>
      <w:r>
        <w:rPr>
          <w:sz w:val="22"/>
          <w:szCs w:val="22"/>
          <w:lang w:val="en-GB"/>
        </w:rPr>
        <w:t>se replacement market for ty</w:t>
      </w:r>
      <w:r w:rsidRPr="009074F6">
        <w:rPr>
          <w:sz w:val="22"/>
          <w:szCs w:val="22"/>
          <w:lang w:val="en-GB"/>
        </w:rPr>
        <w:t>res a</w:t>
      </w:r>
      <w:r>
        <w:rPr>
          <w:sz w:val="22"/>
          <w:szCs w:val="22"/>
          <w:lang w:val="en-GB"/>
        </w:rPr>
        <w:t>nd in the Chinese and Russian ty</w:t>
      </w:r>
      <w:r w:rsidRPr="009074F6">
        <w:rPr>
          <w:sz w:val="22"/>
          <w:szCs w:val="22"/>
          <w:lang w:val="en-GB"/>
        </w:rPr>
        <w:t>re markets and of the we</w:t>
      </w:r>
      <w:bookmarkStart w:id="0" w:name="_GoBack"/>
      <w:bookmarkEnd w:id="0"/>
      <w:r w:rsidRPr="009074F6">
        <w:rPr>
          <w:sz w:val="22"/>
          <w:szCs w:val="22"/>
          <w:lang w:val="en-GB"/>
        </w:rPr>
        <w:t xml:space="preserve">akening of the yen. Those positive factors more than offset the adverse effects of upward movement in raw material prices. </w:t>
      </w:r>
    </w:p>
    <w:p w:rsidR="009074F6" w:rsidRPr="009074F6" w:rsidRDefault="009074F6" w:rsidP="009074F6">
      <w:pPr>
        <w:pStyle w:val="NurText"/>
        <w:rPr>
          <w:sz w:val="22"/>
          <w:szCs w:val="22"/>
          <w:lang w:val="en-GB"/>
        </w:rPr>
      </w:pPr>
    </w:p>
    <w:p w:rsidR="009074F6" w:rsidRDefault="009074F6" w:rsidP="009074F6">
      <w:pPr>
        <w:pStyle w:val="NurText"/>
        <w:rPr>
          <w:sz w:val="22"/>
          <w:szCs w:val="22"/>
          <w:lang w:val="en-GB"/>
        </w:rPr>
      </w:pPr>
      <w:r w:rsidRPr="009074F6">
        <w:rPr>
          <w:sz w:val="22"/>
          <w:szCs w:val="22"/>
          <w:lang w:val="en-GB"/>
        </w:rPr>
        <w:t>In regard to the full fiscal year, Y</w:t>
      </w:r>
      <w:r>
        <w:rPr>
          <w:sz w:val="22"/>
          <w:szCs w:val="22"/>
          <w:lang w:val="en-GB"/>
        </w:rPr>
        <w:t>OKOHAMA</w:t>
      </w:r>
      <w:r w:rsidRPr="009074F6">
        <w:rPr>
          <w:sz w:val="22"/>
          <w:szCs w:val="22"/>
          <w:lang w:val="en-GB"/>
        </w:rPr>
        <w:t xml:space="preserve"> is reviewing its projections in consideration of such variables as trends in demand, raw material prices, and currency exchange rates. The company will announce any revisions in its full-year projections if and when management deems such revisions to be appropriate.</w:t>
      </w:r>
    </w:p>
    <w:p w:rsidR="009074F6" w:rsidRDefault="009074F6" w:rsidP="009074F6">
      <w:pPr>
        <w:pStyle w:val="NurText"/>
        <w:rPr>
          <w:sz w:val="22"/>
          <w:szCs w:val="22"/>
          <w:lang w:val="en-GB"/>
        </w:rPr>
      </w:pPr>
    </w:p>
    <w:p w:rsidR="009074F6" w:rsidRDefault="009074F6" w:rsidP="009074F6">
      <w:pPr>
        <w:pStyle w:val="NurText"/>
        <w:rPr>
          <w:sz w:val="22"/>
          <w:szCs w:val="22"/>
          <w:lang w:val="en-GB"/>
        </w:rPr>
      </w:pPr>
    </w:p>
    <w:p w:rsidR="009074F6" w:rsidRDefault="009074F6" w:rsidP="009074F6">
      <w:pPr>
        <w:pStyle w:val="NurText"/>
        <w:rPr>
          <w:sz w:val="22"/>
          <w:szCs w:val="22"/>
          <w:lang w:val="en-GB"/>
        </w:rPr>
      </w:pPr>
    </w:p>
    <w:p w:rsidR="009074F6" w:rsidRPr="009074F6" w:rsidRDefault="009074F6" w:rsidP="009074F6">
      <w:pPr>
        <w:pStyle w:val="berschrift6"/>
        <w:rPr>
          <w:rFonts w:ascii="Arial" w:hAnsi="Arial" w:cs="Arial"/>
          <w:color w:val="auto"/>
          <w:sz w:val="22"/>
          <w:szCs w:val="22"/>
          <w:lang w:val="en-GB"/>
        </w:rPr>
      </w:pPr>
      <w:r w:rsidRPr="009074F6">
        <w:rPr>
          <w:rFonts w:ascii="Arial" w:hAnsi="Arial" w:cs="Arial"/>
          <w:color w:val="auto"/>
          <w:sz w:val="22"/>
          <w:szCs w:val="22"/>
          <w:lang w:val="en-GB"/>
        </w:rPr>
        <w:t>Yokohama’s Revised Projections for the Fiscal First Half (January to June) of 2017</w:t>
      </w:r>
    </w:p>
    <w:p w:rsidR="009074F6" w:rsidRDefault="009074F6" w:rsidP="009074F6">
      <w:r>
        <w:rPr>
          <w:noProof/>
        </w:rPr>
        <w:drawing>
          <wp:inline distT="0" distB="0" distL="0" distR="0">
            <wp:extent cx="6191250" cy="2238375"/>
            <wp:effectExtent l="0" t="0" r="0" b="0"/>
            <wp:docPr id="1" name="Grafik 1" descr="http://www.y-yokohama.com/release/low/2017072813mg00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yokohama.com/release/low/2017072813mg002_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0" cy="2238375"/>
                    </a:xfrm>
                    <a:prstGeom prst="rect">
                      <a:avLst/>
                    </a:prstGeom>
                    <a:noFill/>
                    <a:ln>
                      <a:noFill/>
                    </a:ln>
                  </pic:spPr>
                </pic:pic>
              </a:graphicData>
            </a:graphic>
          </wp:inline>
        </w:drawing>
      </w:r>
    </w:p>
    <w:p w:rsidR="009074F6" w:rsidRPr="009074F6" w:rsidRDefault="009074F6" w:rsidP="009074F6">
      <w:pPr>
        <w:pStyle w:val="NurText"/>
        <w:rPr>
          <w:sz w:val="22"/>
          <w:szCs w:val="22"/>
          <w:lang w:val="en-GB"/>
        </w:rPr>
      </w:pPr>
    </w:p>
    <w:p w:rsidR="00444C90" w:rsidRPr="009074F6" w:rsidRDefault="00444C90" w:rsidP="00444C90">
      <w:pPr>
        <w:jc w:val="center"/>
        <w:rPr>
          <w:rFonts w:ascii="Arial" w:hAnsi="Arial" w:cs="Arial"/>
          <w:i/>
          <w:sz w:val="16"/>
          <w:szCs w:val="16"/>
          <w:lang w:val="en-GB"/>
        </w:rPr>
      </w:pPr>
    </w:p>
    <w:p w:rsidR="00444C90" w:rsidRPr="009074F6" w:rsidRDefault="00444C90" w:rsidP="00444C90">
      <w:pPr>
        <w:jc w:val="center"/>
        <w:rPr>
          <w:rFonts w:ascii="Arial" w:hAnsi="Arial" w:cs="Arial"/>
          <w:i/>
          <w:sz w:val="16"/>
          <w:szCs w:val="16"/>
          <w:lang w:val="en-GB"/>
        </w:rPr>
      </w:pPr>
    </w:p>
    <w:sectPr w:rsidR="00444C90" w:rsidRPr="009074F6"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4337" w:rsidRDefault="00FE4337" w:rsidP="00B25742">
      <w:r>
        <w:separator/>
      </w:r>
    </w:p>
  </w:endnote>
  <w:endnote w:type="continuationSeparator" w:id="0">
    <w:p w:rsidR="00FE4337" w:rsidRDefault="00FE4337"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7E323C">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4337" w:rsidRDefault="00FE4337" w:rsidP="00B25742">
      <w:r>
        <w:separator/>
      </w:r>
    </w:p>
  </w:footnote>
  <w:footnote w:type="continuationSeparator" w:id="0">
    <w:p w:rsidR="00FE4337" w:rsidRDefault="00FE4337"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7E323C">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323C"/>
    <w:rsid w:val="007E6445"/>
    <w:rsid w:val="007E6B59"/>
    <w:rsid w:val="007F0654"/>
    <w:rsid w:val="007F61B9"/>
    <w:rsid w:val="00800308"/>
    <w:rsid w:val="0080519A"/>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074F6"/>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D346CC"/>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paragraph" w:styleId="berschrift6">
    <w:name w:val="heading 6"/>
    <w:basedOn w:val="Standard"/>
    <w:next w:val="Standard"/>
    <w:link w:val="berschrift6Zchn"/>
    <w:uiPriority w:val="9"/>
    <w:semiHidden/>
    <w:unhideWhenUsed/>
    <w:qFormat/>
    <w:rsid w:val="009074F6"/>
    <w:pPr>
      <w:keepNext/>
      <w:keepLines/>
      <w:spacing w:before="40"/>
      <w:outlineLvl w:val="5"/>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character" w:customStyle="1" w:styleId="berschrift6Zchn">
    <w:name w:val="Überschrift 6 Zchn"/>
    <w:basedOn w:val="Absatz-Standardschriftart"/>
    <w:link w:val="berschrift6"/>
    <w:uiPriority w:val="9"/>
    <w:semiHidden/>
    <w:rsid w:val="009074F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163669787">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16507789">
      <w:bodyDiv w:val="1"/>
      <w:marLeft w:val="0"/>
      <w:marRight w:val="0"/>
      <w:marTop w:val="0"/>
      <w:marBottom w:val="0"/>
      <w:divBdr>
        <w:top w:val="none" w:sz="0" w:space="0" w:color="auto"/>
        <w:left w:val="none" w:sz="0" w:space="0" w:color="auto"/>
        <w:bottom w:val="none" w:sz="0" w:space="0" w:color="auto"/>
        <w:right w:val="none" w:sz="0" w:space="0" w:color="auto"/>
      </w:divBdr>
      <w:divsChild>
        <w:div w:id="763770908">
          <w:marLeft w:val="0"/>
          <w:marRight w:val="0"/>
          <w:marTop w:val="0"/>
          <w:marBottom w:val="0"/>
          <w:divBdr>
            <w:top w:val="none" w:sz="0" w:space="0" w:color="auto"/>
            <w:left w:val="none" w:sz="0" w:space="0" w:color="auto"/>
            <w:bottom w:val="none" w:sz="0" w:space="0" w:color="auto"/>
            <w:right w:val="none" w:sz="0" w:space="0" w:color="auto"/>
          </w:divBdr>
          <w:divsChild>
            <w:div w:id="593904522">
              <w:marLeft w:val="0"/>
              <w:marRight w:val="0"/>
              <w:marTop w:val="0"/>
              <w:marBottom w:val="0"/>
              <w:divBdr>
                <w:top w:val="none" w:sz="0" w:space="0" w:color="auto"/>
                <w:left w:val="none" w:sz="0" w:space="0" w:color="auto"/>
                <w:bottom w:val="none" w:sz="0" w:space="0" w:color="auto"/>
                <w:right w:val="none" w:sz="0" w:space="0" w:color="auto"/>
              </w:divBdr>
              <w:divsChild>
                <w:div w:id="396393144">
                  <w:marLeft w:val="0"/>
                  <w:marRight w:val="0"/>
                  <w:marTop w:val="0"/>
                  <w:marBottom w:val="0"/>
                  <w:divBdr>
                    <w:top w:val="none" w:sz="0" w:space="0" w:color="auto"/>
                    <w:left w:val="none" w:sz="0" w:space="0" w:color="auto"/>
                    <w:bottom w:val="none" w:sz="0" w:space="0" w:color="auto"/>
                    <w:right w:val="none" w:sz="0" w:space="0" w:color="auto"/>
                  </w:divBdr>
                  <w:divsChild>
                    <w:div w:id="177237133">
                      <w:marLeft w:val="0"/>
                      <w:marRight w:val="0"/>
                      <w:marTop w:val="0"/>
                      <w:marBottom w:val="0"/>
                      <w:divBdr>
                        <w:top w:val="none" w:sz="0" w:space="0" w:color="auto"/>
                        <w:left w:val="none" w:sz="0" w:space="0" w:color="auto"/>
                        <w:bottom w:val="none" w:sz="0" w:space="0" w:color="auto"/>
                        <w:right w:val="none" w:sz="0" w:space="0" w:color="auto"/>
                      </w:divBdr>
                      <w:divsChild>
                        <w:div w:id="780876531">
                          <w:marLeft w:val="0"/>
                          <w:marRight w:val="0"/>
                          <w:marTop w:val="0"/>
                          <w:marBottom w:val="0"/>
                          <w:divBdr>
                            <w:top w:val="none" w:sz="0" w:space="0" w:color="auto"/>
                            <w:left w:val="none" w:sz="0" w:space="0" w:color="auto"/>
                            <w:bottom w:val="none" w:sz="0" w:space="0" w:color="auto"/>
                            <w:right w:val="none" w:sz="0" w:space="0" w:color="auto"/>
                          </w:divBdr>
                          <w:divsChild>
                            <w:div w:id="1259018483">
                              <w:marLeft w:val="0"/>
                              <w:marRight w:val="0"/>
                              <w:marTop w:val="0"/>
                              <w:marBottom w:val="0"/>
                              <w:divBdr>
                                <w:top w:val="none" w:sz="0" w:space="0" w:color="auto"/>
                                <w:left w:val="none" w:sz="0" w:space="0" w:color="auto"/>
                                <w:bottom w:val="none" w:sz="0" w:space="0" w:color="auto"/>
                                <w:right w:val="none" w:sz="0" w:space="0" w:color="auto"/>
                              </w:divBdr>
                              <w:divsChild>
                                <w:div w:id="1232622706">
                                  <w:marLeft w:val="0"/>
                                  <w:marRight w:val="0"/>
                                  <w:marTop w:val="0"/>
                                  <w:marBottom w:val="0"/>
                                  <w:divBdr>
                                    <w:top w:val="none" w:sz="0" w:space="0" w:color="auto"/>
                                    <w:left w:val="none" w:sz="0" w:space="0" w:color="auto"/>
                                    <w:bottom w:val="none" w:sz="0" w:space="0" w:color="auto"/>
                                    <w:right w:val="none" w:sz="0" w:space="0" w:color="auto"/>
                                  </w:divBdr>
                                  <w:divsChild>
                                    <w:div w:id="556014018">
                                      <w:marLeft w:val="0"/>
                                      <w:marRight w:val="0"/>
                                      <w:marTop w:val="0"/>
                                      <w:marBottom w:val="0"/>
                                      <w:divBdr>
                                        <w:top w:val="none" w:sz="0" w:space="0" w:color="auto"/>
                                        <w:left w:val="none" w:sz="0" w:space="0" w:color="auto"/>
                                        <w:bottom w:val="none" w:sz="0" w:space="0" w:color="auto"/>
                                        <w:right w:val="none" w:sz="0" w:space="0" w:color="auto"/>
                                      </w:divBdr>
                                      <w:divsChild>
                                        <w:div w:id="148951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187</Words>
  <Characters>1067</Characters>
  <Application>Microsoft Office Word</Application>
  <DocSecurity>0</DocSecurity>
  <Lines>8</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2017-07-28T12:20:00Z</dcterms:created>
  <dcterms:modified xsi:type="dcterms:W3CDTF">2017-07-28T12:31:00Z</dcterms:modified>
</cp:coreProperties>
</file>